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6E1EF9" w:rsidP="004A6D2F">
            <w:pPr>
              <w:rPr>
                <w:rStyle w:val="Firstpagetablebold"/>
              </w:rPr>
            </w:pPr>
            <w:r>
              <w:rPr>
                <w:b/>
                <w:bCs/>
              </w:rPr>
              <w:t>Standards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9D051D" w:rsidP="005D0621">
            <w:pPr>
              <w:rPr>
                <w:b/>
              </w:rPr>
            </w:pPr>
            <w:r>
              <w:rPr>
                <w:b/>
              </w:rPr>
              <w:t xml:space="preserve">11 </w:t>
            </w:r>
            <w:r w:rsidR="00DC091B">
              <w:rPr>
                <w:b/>
              </w:rPr>
              <w:t>September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DC091B" w:rsidP="004A6D2F">
            <w:pPr>
              <w:rPr>
                <w:rStyle w:val="Firstpagetablebold"/>
              </w:rPr>
            </w:pPr>
            <w:r>
              <w:rPr>
                <w:b/>
                <w:bCs/>
              </w:rPr>
              <w:t xml:space="preserve">Monitoring Officer / </w:t>
            </w:r>
            <w:r w:rsidR="006E1EF9">
              <w:rPr>
                <w:b/>
                <w:bCs/>
              </w:rPr>
              <w:t>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4521FD" w:rsidP="004521FD">
            <w:pPr>
              <w:spacing w:after="0"/>
              <w:rPr>
                <w:rStyle w:val="Firstpagetablebold"/>
              </w:rPr>
            </w:pPr>
            <w:r w:rsidRPr="004521FD">
              <w:rPr>
                <w:rFonts w:eastAsiaTheme="minorHAnsi" w:cs="Arial"/>
                <w:b/>
                <w:color w:val="auto"/>
                <w:lang w:eastAsia="en-US"/>
              </w:rPr>
              <w:t xml:space="preserve">The Oxford City Council </w:t>
            </w:r>
            <w:r>
              <w:rPr>
                <w:rFonts w:eastAsiaTheme="minorHAnsi" w:cs="Arial"/>
                <w:b/>
                <w:color w:val="auto"/>
                <w:lang w:eastAsia="en-US"/>
              </w:rPr>
              <w:t xml:space="preserve">response to the </w:t>
            </w:r>
            <w:r w:rsidRPr="004521FD">
              <w:rPr>
                <w:rFonts w:eastAsiaTheme="minorHAnsi" w:cs="Arial"/>
                <w:b/>
                <w:color w:val="auto"/>
                <w:lang w:eastAsia="en-US"/>
              </w:rPr>
              <w:t xml:space="preserve">Committee on Standards in Public Life – Local Government Ethical Standards Consultation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Tr="0080749A">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5B4F91" w:rsidRDefault="00E302F1" w:rsidP="005B4F91">
            <w:pPr>
              <w:rPr>
                <w:b/>
              </w:rPr>
            </w:pPr>
            <w:r w:rsidRPr="005B4F91">
              <w:rPr>
                <w:b/>
                <w:color w:val="auto"/>
              </w:rPr>
              <w:t xml:space="preserve">This report </w:t>
            </w:r>
            <w:r w:rsidR="004521FD" w:rsidRPr="005B4F91">
              <w:rPr>
                <w:b/>
                <w:color w:val="auto"/>
              </w:rPr>
              <w:t>informs</w:t>
            </w:r>
            <w:r w:rsidRPr="005B4F91">
              <w:rPr>
                <w:b/>
                <w:color w:val="auto"/>
              </w:rPr>
              <w:t xml:space="preserve"> the Committee</w:t>
            </w:r>
            <w:r w:rsidR="004521FD" w:rsidRPr="005B4F91">
              <w:rPr>
                <w:rFonts w:eastAsiaTheme="minorHAnsi" w:cs="Arial"/>
                <w:b/>
                <w:color w:val="auto"/>
                <w:lang w:eastAsia="en-US"/>
              </w:rPr>
              <w:t xml:space="preserve"> of the </w:t>
            </w:r>
            <w:r w:rsidR="004521FD" w:rsidRPr="004521FD">
              <w:rPr>
                <w:rFonts w:eastAsiaTheme="minorHAnsi" w:cs="Arial"/>
                <w:b/>
                <w:color w:val="auto"/>
                <w:lang w:eastAsia="en-US"/>
              </w:rPr>
              <w:t>Committee on Standards in Public Life – Local Government Ethical Standards Consultation</w:t>
            </w:r>
            <w:r w:rsidR="005B4F91">
              <w:rPr>
                <w:rFonts w:eastAsiaTheme="minorHAnsi" w:cs="Arial"/>
                <w:b/>
                <w:color w:val="auto"/>
                <w:lang w:eastAsia="en-US"/>
              </w:rPr>
              <w:t xml:space="preserve"> and the Oxford City Council response to that consultation</w:t>
            </w:r>
            <w:r w:rsidRPr="005B4F91">
              <w:rPr>
                <w:b/>
                <w:color w:val="auto"/>
              </w:rPr>
              <w:t>.</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6E1EF9" w:rsidP="005F7F7E">
            <w:r>
              <w:t>No</w:t>
            </w:r>
          </w:p>
        </w:tc>
      </w:tr>
      <w:tr w:rsidR="005F7F7E" w:rsidRPr="00975B07" w:rsidTr="004521FD">
        <w:trPr>
          <w:trHeight w:val="413"/>
        </w:trPr>
        <w:tc>
          <w:tcPr>
            <w:tcW w:w="8845" w:type="dxa"/>
            <w:gridSpan w:val="2"/>
            <w:tcBorders>
              <w:bottom w:val="single" w:sz="8" w:space="0" w:color="000000"/>
            </w:tcBorders>
          </w:tcPr>
          <w:p w:rsidR="004E3B9B" w:rsidRDefault="006E1EF9" w:rsidP="004E3B9B">
            <w:pPr>
              <w:rPr>
                <w:rStyle w:val="Firstpagetablebold"/>
              </w:rPr>
            </w:pPr>
            <w:r>
              <w:rPr>
                <w:rStyle w:val="Firstpagetablebold"/>
              </w:rPr>
              <w:t>Recommendation</w:t>
            </w:r>
            <w:r w:rsidR="005F7F7E">
              <w:rPr>
                <w:rStyle w:val="Firstpagetablebold"/>
              </w:rPr>
              <w:t>:</w:t>
            </w:r>
            <w:r>
              <w:rPr>
                <w:rStyle w:val="Firstpagetablebold"/>
              </w:rPr>
              <w:t xml:space="preserve"> </w:t>
            </w:r>
          </w:p>
          <w:p w:rsidR="005F7F7E" w:rsidRPr="000E53F5" w:rsidRDefault="005F7F7E" w:rsidP="004521FD">
            <w:pPr>
              <w:rPr>
                <w:b/>
                <w:i/>
                <w:color w:val="FF0000"/>
              </w:rPr>
            </w:pPr>
            <w:r w:rsidRPr="000E53F5">
              <w:rPr>
                <w:rStyle w:val="Firstpagetablebold"/>
                <w:color w:val="auto"/>
              </w:rPr>
              <w:t xml:space="preserve">That the </w:t>
            </w:r>
            <w:r w:rsidR="00DC091B" w:rsidRPr="000E53F5">
              <w:rPr>
                <w:rStyle w:val="Firstpagetablebold"/>
                <w:color w:val="auto"/>
              </w:rPr>
              <w:t xml:space="preserve">Standards </w:t>
            </w:r>
            <w:r w:rsidR="006E1EF9" w:rsidRPr="000E53F5">
              <w:rPr>
                <w:rStyle w:val="Firstpagetablebold"/>
                <w:color w:val="auto"/>
              </w:rPr>
              <w:t xml:space="preserve">Committee </w:t>
            </w:r>
            <w:r w:rsidR="004521FD">
              <w:rPr>
                <w:rStyle w:val="Firstpagetablebold"/>
                <w:color w:val="auto"/>
              </w:rPr>
              <w:t>notes the report.</w:t>
            </w:r>
          </w:p>
        </w:tc>
      </w:tr>
      <w:tr w:rsidR="004521FD" w:rsidRPr="00975B07" w:rsidTr="004521FD">
        <w:trPr>
          <w:trHeight w:val="413"/>
        </w:trPr>
        <w:tc>
          <w:tcPr>
            <w:tcW w:w="2438" w:type="dxa"/>
            <w:tcBorders>
              <w:bottom w:val="single" w:sz="8" w:space="0" w:color="000000"/>
              <w:right w:val="nil"/>
            </w:tcBorders>
          </w:tcPr>
          <w:p w:rsidR="004521FD" w:rsidRDefault="004521FD" w:rsidP="004E3B9B">
            <w:pPr>
              <w:rPr>
                <w:rStyle w:val="Firstpagetablebold"/>
              </w:rPr>
            </w:pPr>
            <w:r>
              <w:rPr>
                <w:rStyle w:val="Firstpagetablebold"/>
              </w:rPr>
              <w:t>Appendix 1</w:t>
            </w:r>
          </w:p>
        </w:tc>
        <w:tc>
          <w:tcPr>
            <w:tcW w:w="6407" w:type="dxa"/>
            <w:tcBorders>
              <w:left w:val="nil"/>
              <w:bottom w:val="single" w:sz="8" w:space="0" w:color="000000"/>
            </w:tcBorders>
          </w:tcPr>
          <w:p w:rsidR="004521FD" w:rsidRDefault="004521FD" w:rsidP="004521FD">
            <w:pPr>
              <w:rPr>
                <w:rStyle w:val="Firstpagetablebold"/>
              </w:rPr>
            </w:pPr>
            <w:r>
              <w:rPr>
                <w:rStyle w:val="Firstpagetablebold"/>
              </w:rPr>
              <w:t xml:space="preserve">The Oxford City Council response </w:t>
            </w:r>
            <w:r>
              <w:rPr>
                <w:rFonts w:eastAsiaTheme="minorHAnsi" w:cs="Arial"/>
                <w:b/>
                <w:color w:val="auto"/>
                <w:lang w:eastAsia="en-US"/>
              </w:rPr>
              <w:t xml:space="preserve">to the </w:t>
            </w:r>
            <w:r w:rsidRPr="004521FD">
              <w:rPr>
                <w:rFonts w:eastAsiaTheme="minorHAnsi" w:cs="Arial"/>
                <w:b/>
                <w:color w:val="auto"/>
                <w:lang w:eastAsia="en-US"/>
              </w:rPr>
              <w:t>Committee on Standards in Public Life – Local Government Ethical Standards Consultation</w:t>
            </w:r>
          </w:p>
        </w:tc>
      </w:tr>
    </w:tbl>
    <w:p w:rsidR="00CE544A" w:rsidRPr="009E51FC" w:rsidRDefault="00CE544A" w:rsidP="004A6D2F"/>
    <w:p w:rsidR="0040736F" w:rsidRPr="004521FD" w:rsidRDefault="00F66DCA" w:rsidP="004A6D2F">
      <w:pPr>
        <w:pStyle w:val="Heading1"/>
        <w:rPr>
          <w:color w:val="auto"/>
        </w:rPr>
      </w:pPr>
      <w:r w:rsidRPr="004521FD">
        <w:rPr>
          <w:color w:val="auto"/>
        </w:rPr>
        <w:t>Introduction and b</w:t>
      </w:r>
      <w:r w:rsidR="00151888" w:rsidRPr="004521FD">
        <w:rPr>
          <w:color w:val="auto"/>
        </w:rPr>
        <w:t>ackground</w:t>
      </w:r>
      <w:r w:rsidR="00404032" w:rsidRPr="004521FD">
        <w:rPr>
          <w:color w:val="auto"/>
        </w:rPr>
        <w:t xml:space="preserve"> </w:t>
      </w:r>
    </w:p>
    <w:p w:rsidR="004521FD" w:rsidRPr="004521FD" w:rsidRDefault="004521FD" w:rsidP="009153D7">
      <w:pPr>
        <w:pStyle w:val="ListParagraph"/>
        <w:numPr>
          <w:ilvl w:val="0"/>
          <w:numId w:val="6"/>
        </w:numPr>
        <w:shd w:val="clear" w:color="auto" w:fill="FFFFFF"/>
        <w:spacing w:after="0"/>
        <w:rPr>
          <w:rFonts w:cs="Arial"/>
          <w:color w:val="auto"/>
        </w:rPr>
      </w:pPr>
      <w:r w:rsidRPr="004521FD">
        <w:rPr>
          <w:rFonts w:cs="Arial"/>
          <w:color w:val="auto"/>
        </w:rPr>
        <w:t xml:space="preserve">The Committee on Standards in Public Life is undertaking a review of local government </w:t>
      </w:r>
      <w:r w:rsidRPr="009153D7">
        <w:rPr>
          <w:rFonts w:cs="Arial"/>
          <w:color w:val="auto"/>
        </w:rPr>
        <w:t xml:space="preserve">ethical standards. </w:t>
      </w:r>
      <w:r w:rsidR="009153D7" w:rsidRPr="009153D7">
        <w:rPr>
          <w:rFonts w:cs="Arial"/>
          <w:color w:val="auto"/>
        </w:rPr>
        <w:t xml:space="preserve">The Committee on Standards in Public Life considers that robust standards arrangements are needed to safeguard local democracy, maintain high standards of conduct, and to protect ethical practice in local government. </w:t>
      </w:r>
      <w:r w:rsidRPr="009153D7">
        <w:rPr>
          <w:rFonts w:cs="Arial"/>
          <w:color w:val="auto"/>
        </w:rPr>
        <w:t>Th</w:t>
      </w:r>
      <w:r w:rsidR="009153D7" w:rsidRPr="009153D7">
        <w:rPr>
          <w:rFonts w:cs="Arial"/>
          <w:color w:val="auto"/>
        </w:rPr>
        <w:t>e</w:t>
      </w:r>
      <w:r w:rsidRPr="009153D7">
        <w:rPr>
          <w:rFonts w:cs="Arial"/>
          <w:color w:val="auto"/>
        </w:rPr>
        <w:t xml:space="preserve"> </w:t>
      </w:r>
      <w:r w:rsidRPr="004521FD">
        <w:rPr>
          <w:rFonts w:cs="Arial"/>
          <w:color w:val="auto"/>
        </w:rPr>
        <w:t xml:space="preserve">consultation </w:t>
      </w:r>
      <w:r w:rsidR="009153D7">
        <w:rPr>
          <w:rFonts w:cs="Arial"/>
          <w:color w:val="auto"/>
        </w:rPr>
        <w:t xml:space="preserve">period </w:t>
      </w:r>
      <w:r w:rsidRPr="004521FD">
        <w:rPr>
          <w:rFonts w:cs="Arial"/>
          <w:color w:val="auto"/>
        </w:rPr>
        <w:t>ran from 29 January to 18 May 2018.</w:t>
      </w:r>
    </w:p>
    <w:p w:rsidR="004521FD" w:rsidRPr="004521FD" w:rsidRDefault="004521FD" w:rsidP="004521FD">
      <w:pPr>
        <w:shd w:val="clear" w:color="auto" w:fill="FFFFFF"/>
        <w:spacing w:after="0"/>
        <w:rPr>
          <w:rFonts w:cs="Arial"/>
          <w:color w:val="auto"/>
        </w:rPr>
      </w:pPr>
    </w:p>
    <w:p w:rsidR="004521FD" w:rsidRPr="004521FD" w:rsidRDefault="004521FD" w:rsidP="004521FD">
      <w:pPr>
        <w:pStyle w:val="ListParagraph"/>
        <w:numPr>
          <w:ilvl w:val="0"/>
          <w:numId w:val="6"/>
        </w:numPr>
        <w:ind w:left="357" w:hanging="357"/>
        <w:rPr>
          <w:color w:val="auto"/>
        </w:rPr>
      </w:pPr>
      <w:r w:rsidRPr="004521FD">
        <w:rPr>
          <w:color w:val="auto"/>
        </w:rPr>
        <w:t xml:space="preserve">The Committee </w:t>
      </w:r>
      <w:r w:rsidRPr="004521FD">
        <w:rPr>
          <w:rFonts w:cs="Arial"/>
          <w:color w:val="auto"/>
        </w:rPr>
        <w:t xml:space="preserve">on Standards in Public Life </w:t>
      </w:r>
      <w:r w:rsidRPr="004521FD">
        <w:rPr>
          <w:color w:val="auto"/>
        </w:rPr>
        <w:t>welcomed submissions from members of the public but the consultation was aimed particularly at the following stakeholders, both individually and corporately:</w:t>
      </w:r>
    </w:p>
    <w:p w:rsidR="004521FD" w:rsidRPr="004521FD" w:rsidRDefault="004521FD" w:rsidP="004521FD">
      <w:pPr>
        <w:pStyle w:val="ListParagraph"/>
        <w:numPr>
          <w:ilvl w:val="0"/>
          <w:numId w:val="13"/>
        </w:numPr>
        <w:spacing w:after="0"/>
        <w:rPr>
          <w:color w:val="auto"/>
        </w:rPr>
      </w:pPr>
      <w:r w:rsidRPr="004521FD">
        <w:rPr>
          <w:color w:val="auto"/>
        </w:rPr>
        <w:t>local authorities and standards committees</w:t>
      </w:r>
    </w:p>
    <w:p w:rsidR="004521FD" w:rsidRPr="004521FD" w:rsidRDefault="004521FD" w:rsidP="004521FD">
      <w:pPr>
        <w:pStyle w:val="ListParagraph"/>
        <w:numPr>
          <w:ilvl w:val="0"/>
          <w:numId w:val="13"/>
        </w:numPr>
        <w:spacing w:after="0"/>
        <w:rPr>
          <w:color w:val="auto"/>
        </w:rPr>
      </w:pPr>
      <w:r w:rsidRPr="004521FD">
        <w:rPr>
          <w:color w:val="auto"/>
        </w:rPr>
        <w:t>local authority members (for example, Parish Councillors, District Councillors)</w:t>
      </w:r>
    </w:p>
    <w:p w:rsidR="004521FD" w:rsidRPr="004521FD" w:rsidRDefault="004521FD" w:rsidP="004521FD">
      <w:pPr>
        <w:pStyle w:val="ListParagraph"/>
        <w:numPr>
          <w:ilvl w:val="0"/>
          <w:numId w:val="13"/>
        </w:numPr>
        <w:spacing w:after="0"/>
        <w:rPr>
          <w:color w:val="auto"/>
        </w:rPr>
      </w:pPr>
      <w:r w:rsidRPr="004521FD">
        <w:rPr>
          <w:color w:val="auto"/>
        </w:rPr>
        <w:t>local authority officials (for example, Monitoring Officers)</w:t>
      </w:r>
    </w:p>
    <w:p w:rsidR="004521FD" w:rsidRPr="004521FD" w:rsidRDefault="004521FD" w:rsidP="004521FD">
      <w:pPr>
        <w:pStyle w:val="ListParagraph"/>
        <w:numPr>
          <w:ilvl w:val="0"/>
          <w:numId w:val="13"/>
        </w:numPr>
        <w:spacing w:after="0"/>
        <w:rPr>
          <w:color w:val="auto"/>
        </w:rPr>
      </w:pPr>
      <w:r w:rsidRPr="004521FD">
        <w:rPr>
          <w:color w:val="auto"/>
        </w:rPr>
        <w:t>Independent Persons appointed under section 28(7) of the Localism Act 2011</w:t>
      </w:r>
    </w:p>
    <w:p w:rsidR="004521FD" w:rsidRPr="004521FD" w:rsidRDefault="004521FD" w:rsidP="004521FD">
      <w:pPr>
        <w:pStyle w:val="ListParagraph"/>
        <w:numPr>
          <w:ilvl w:val="0"/>
          <w:numId w:val="13"/>
        </w:numPr>
        <w:spacing w:after="0"/>
        <w:rPr>
          <w:color w:val="auto"/>
        </w:rPr>
      </w:pPr>
      <w:r w:rsidRPr="004521FD">
        <w:rPr>
          <w:color w:val="auto"/>
        </w:rPr>
        <w:t>think tanks with an interest or expertise in local government</w:t>
      </w:r>
    </w:p>
    <w:p w:rsidR="004521FD" w:rsidRPr="004521FD" w:rsidRDefault="004521FD" w:rsidP="004521FD">
      <w:pPr>
        <w:pStyle w:val="ListParagraph"/>
        <w:numPr>
          <w:ilvl w:val="0"/>
          <w:numId w:val="13"/>
        </w:numPr>
        <w:spacing w:after="0"/>
        <w:rPr>
          <w:color w:val="auto"/>
        </w:rPr>
      </w:pPr>
      <w:r w:rsidRPr="004521FD">
        <w:rPr>
          <w:color w:val="auto"/>
        </w:rPr>
        <w:t>academics with interest or expertise in local government</w:t>
      </w:r>
    </w:p>
    <w:p w:rsidR="004521FD" w:rsidRPr="004521FD" w:rsidRDefault="004521FD" w:rsidP="004521FD">
      <w:pPr>
        <w:pStyle w:val="ListParagraph"/>
        <w:numPr>
          <w:ilvl w:val="0"/>
          <w:numId w:val="13"/>
        </w:numPr>
        <w:spacing w:after="0"/>
        <w:rPr>
          <w:color w:val="auto"/>
        </w:rPr>
      </w:pPr>
      <w:r w:rsidRPr="004521FD">
        <w:rPr>
          <w:color w:val="auto"/>
        </w:rPr>
        <w:t>representative bodies or groups related to local government</w:t>
      </w:r>
    </w:p>
    <w:p w:rsidR="00CF48E0" w:rsidRDefault="00CF48E0" w:rsidP="004521FD">
      <w:pPr>
        <w:spacing w:after="0"/>
        <w:rPr>
          <w:color w:val="FF0000"/>
        </w:rPr>
      </w:pPr>
    </w:p>
    <w:p w:rsidR="004521FD" w:rsidRPr="009153D7" w:rsidRDefault="004521FD" w:rsidP="004521FD">
      <w:pPr>
        <w:pStyle w:val="ListParagraph"/>
        <w:numPr>
          <w:ilvl w:val="0"/>
          <w:numId w:val="6"/>
        </w:numPr>
        <w:rPr>
          <w:color w:val="auto"/>
        </w:rPr>
      </w:pPr>
      <w:r w:rsidRPr="009153D7">
        <w:rPr>
          <w:color w:val="auto"/>
        </w:rPr>
        <w:lastRenderedPageBreak/>
        <w:t>The terms of reference for the review are to:</w:t>
      </w:r>
    </w:p>
    <w:p w:rsidR="009153D7" w:rsidRPr="009153D7" w:rsidRDefault="004521FD" w:rsidP="005B4F91">
      <w:pPr>
        <w:pStyle w:val="ListParagraph"/>
        <w:numPr>
          <w:ilvl w:val="0"/>
          <w:numId w:val="17"/>
        </w:numPr>
        <w:spacing w:after="0"/>
        <w:ind w:left="1077" w:hanging="357"/>
        <w:rPr>
          <w:color w:val="auto"/>
        </w:rPr>
      </w:pPr>
      <w:r w:rsidRPr="009153D7">
        <w:rPr>
          <w:color w:val="auto"/>
        </w:rPr>
        <w:t>examine the structures, processes and practices in local government in England for:</w:t>
      </w:r>
    </w:p>
    <w:p w:rsidR="004521FD" w:rsidRPr="009153D7" w:rsidRDefault="004521FD" w:rsidP="005B4F91">
      <w:pPr>
        <w:pStyle w:val="ListParagraph"/>
        <w:numPr>
          <w:ilvl w:val="1"/>
          <w:numId w:val="17"/>
        </w:numPr>
        <w:spacing w:after="0"/>
        <w:ind w:left="1797" w:hanging="357"/>
        <w:rPr>
          <w:color w:val="auto"/>
        </w:rPr>
      </w:pPr>
      <w:r w:rsidRPr="009153D7">
        <w:rPr>
          <w:color w:val="auto"/>
        </w:rPr>
        <w:t>maintaining codes of conduct for local councillors</w:t>
      </w:r>
    </w:p>
    <w:p w:rsidR="004521FD" w:rsidRPr="009153D7" w:rsidRDefault="004521FD" w:rsidP="005B4F91">
      <w:pPr>
        <w:pStyle w:val="ListParagraph"/>
        <w:numPr>
          <w:ilvl w:val="1"/>
          <w:numId w:val="17"/>
        </w:numPr>
        <w:spacing w:after="0"/>
        <w:ind w:left="1797" w:hanging="357"/>
        <w:rPr>
          <w:color w:val="auto"/>
        </w:rPr>
      </w:pPr>
      <w:r w:rsidRPr="009153D7">
        <w:rPr>
          <w:color w:val="auto"/>
        </w:rPr>
        <w:t>investigating alleged breaches fairly and with due process</w:t>
      </w:r>
    </w:p>
    <w:p w:rsidR="004521FD" w:rsidRPr="009153D7" w:rsidRDefault="004521FD" w:rsidP="005B4F91">
      <w:pPr>
        <w:pStyle w:val="ListParagraph"/>
        <w:numPr>
          <w:ilvl w:val="1"/>
          <w:numId w:val="17"/>
        </w:numPr>
        <w:spacing w:after="0"/>
        <w:ind w:left="1797" w:hanging="357"/>
        <w:rPr>
          <w:color w:val="auto"/>
        </w:rPr>
      </w:pPr>
      <w:r w:rsidRPr="009153D7">
        <w:rPr>
          <w:color w:val="auto"/>
        </w:rPr>
        <w:t>enforcing codes and imposing sanctions for misconduct</w:t>
      </w:r>
    </w:p>
    <w:p w:rsidR="004521FD" w:rsidRPr="009153D7" w:rsidRDefault="004521FD" w:rsidP="005B4F91">
      <w:pPr>
        <w:pStyle w:val="ListParagraph"/>
        <w:numPr>
          <w:ilvl w:val="1"/>
          <w:numId w:val="17"/>
        </w:numPr>
        <w:spacing w:after="0"/>
        <w:ind w:left="1797" w:hanging="357"/>
        <w:rPr>
          <w:color w:val="auto"/>
        </w:rPr>
      </w:pPr>
      <w:r w:rsidRPr="009153D7">
        <w:rPr>
          <w:color w:val="auto"/>
        </w:rPr>
        <w:t>declaring interests and managing conflicts of interest</w:t>
      </w:r>
    </w:p>
    <w:p w:rsidR="004521FD" w:rsidRPr="009153D7" w:rsidRDefault="004521FD" w:rsidP="005B4F91">
      <w:pPr>
        <w:pStyle w:val="ListParagraph"/>
        <w:numPr>
          <w:ilvl w:val="1"/>
          <w:numId w:val="17"/>
        </w:numPr>
        <w:spacing w:after="0"/>
        <w:ind w:left="1797" w:hanging="357"/>
        <w:rPr>
          <w:color w:val="auto"/>
        </w:rPr>
      </w:pPr>
      <w:r w:rsidRPr="009153D7">
        <w:rPr>
          <w:color w:val="auto"/>
        </w:rPr>
        <w:t>whistleblowing</w:t>
      </w:r>
    </w:p>
    <w:p w:rsidR="004521FD" w:rsidRPr="009153D7" w:rsidRDefault="004521FD" w:rsidP="009153D7">
      <w:pPr>
        <w:pStyle w:val="ListParagraph"/>
        <w:numPr>
          <w:ilvl w:val="0"/>
          <w:numId w:val="17"/>
        </w:numPr>
        <w:rPr>
          <w:color w:val="auto"/>
        </w:rPr>
      </w:pPr>
      <w:r w:rsidRPr="009153D7">
        <w:rPr>
          <w:color w:val="auto"/>
        </w:rPr>
        <w:t>assess whether the existing structures, processes and practices are conducive to high standards of conduct in local government</w:t>
      </w:r>
    </w:p>
    <w:p w:rsidR="004521FD" w:rsidRPr="009153D7" w:rsidRDefault="004521FD" w:rsidP="009153D7">
      <w:pPr>
        <w:pStyle w:val="ListParagraph"/>
        <w:numPr>
          <w:ilvl w:val="0"/>
          <w:numId w:val="17"/>
        </w:numPr>
        <w:rPr>
          <w:color w:val="auto"/>
        </w:rPr>
      </w:pPr>
      <w:r w:rsidRPr="009153D7">
        <w:rPr>
          <w:color w:val="auto"/>
        </w:rPr>
        <w:t>make any recommendations for how they can be improved</w:t>
      </w:r>
    </w:p>
    <w:p w:rsidR="00CF48E0" w:rsidRPr="009153D7" w:rsidRDefault="004521FD" w:rsidP="009153D7">
      <w:pPr>
        <w:pStyle w:val="ListParagraph"/>
        <w:numPr>
          <w:ilvl w:val="0"/>
          <w:numId w:val="17"/>
        </w:numPr>
        <w:spacing w:after="0"/>
        <w:rPr>
          <w:color w:val="auto"/>
        </w:rPr>
      </w:pPr>
      <w:r w:rsidRPr="009153D7">
        <w:rPr>
          <w:color w:val="auto"/>
        </w:rPr>
        <w:t>note any evidence of intimidation of councillors, and make recommendations for any measures that could be put in place to prevent and address such intimidation</w:t>
      </w:r>
    </w:p>
    <w:p w:rsidR="009153D7" w:rsidRPr="009153D7" w:rsidRDefault="009153D7" w:rsidP="009153D7">
      <w:pPr>
        <w:spacing w:after="0"/>
        <w:rPr>
          <w:color w:val="auto"/>
        </w:rPr>
      </w:pPr>
    </w:p>
    <w:p w:rsidR="008009C3" w:rsidRPr="009153D7" w:rsidRDefault="009153D7" w:rsidP="009153D7">
      <w:pPr>
        <w:pStyle w:val="ListParagraph"/>
        <w:numPr>
          <w:ilvl w:val="0"/>
          <w:numId w:val="6"/>
        </w:numPr>
        <w:spacing w:after="0"/>
        <w:rPr>
          <w:color w:val="auto"/>
        </w:rPr>
      </w:pPr>
      <w:r w:rsidRPr="009153D7">
        <w:rPr>
          <w:color w:val="auto"/>
        </w:rPr>
        <w:t>The review will consider all levels of local government in England, including town and parish councils, principal authorities, combined authorities (including Metro Mayors) and the Greater London Authority (including the Mayor of London).</w:t>
      </w:r>
    </w:p>
    <w:p w:rsidR="008D6BB2" w:rsidRPr="008D6BB2" w:rsidRDefault="008D6BB2" w:rsidP="008D6BB2">
      <w:pPr>
        <w:tabs>
          <w:tab w:val="left" w:pos="284"/>
        </w:tabs>
        <w:spacing w:after="0"/>
        <w:rPr>
          <w:color w:val="FF0000"/>
        </w:rPr>
      </w:pPr>
    </w:p>
    <w:p w:rsidR="008009C3" w:rsidRPr="008D6BB2" w:rsidRDefault="000E53F5" w:rsidP="00940AA0">
      <w:pPr>
        <w:pStyle w:val="ListParagraph"/>
        <w:numPr>
          <w:ilvl w:val="0"/>
          <w:numId w:val="6"/>
        </w:numPr>
        <w:tabs>
          <w:tab w:val="clear" w:pos="426"/>
          <w:tab w:val="left" w:pos="284"/>
        </w:tabs>
        <w:spacing w:after="0"/>
        <w:rPr>
          <w:color w:val="FF0000"/>
        </w:rPr>
      </w:pPr>
      <w:r w:rsidRPr="008D6BB2">
        <w:rPr>
          <w:color w:val="FF0000"/>
        </w:rPr>
        <w:t xml:space="preserve"> </w:t>
      </w:r>
      <w:r w:rsidR="009153D7" w:rsidRPr="009153D7">
        <w:rPr>
          <w:color w:val="auto"/>
        </w:rPr>
        <w:t xml:space="preserve">Details of the review can be found at: </w:t>
      </w:r>
      <w:hyperlink r:id="rId9" w:history="1">
        <w:r w:rsidR="009153D7" w:rsidRPr="009153D7">
          <w:rPr>
            <w:rStyle w:val="Hyperlink"/>
          </w:rPr>
          <w:t>https://www.gov.uk/government/consultations/local-government-ethical-standards-stakeholder-consultation</w:t>
        </w:r>
      </w:hyperlink>
      <w:r w:rsidRPr="009153D7">
        <w:rPr>
          <w:color w:val="auto"/>
        </w:rPr>
        <w:t xml:space="preserve">. </w:t>
      </w:r>
    </w:p>
    <w:p w:rsidR="001C303A" w:rsidRPr="008D6BB2" w:rsidRDefault="001C303A" w:rsidP="001C303A">
      <w:pPr>
        <w:tabs>
          <w:tab w:val="left" w:pos="284"/>
        </w:tabs>
        <w:spacing w:after="0"/>
        <w:rPr>
          <w:color w:val="FF0000"/>
        </w:rPr>
      </w:pPr>
    </w:p>
    <w:p w:rsidR="000E53F5" w:rsidRPr="008D6BB2" w:rsidRDefault="008009C3" w:rsidP="00940AA0">
      <w:pPr>
        <w:pStyle w:val="ListParagraph"/>
        <w:numPr>
          <w:ilvl w:val="0"/>
          <w:numId w:val="6"/>
        </w:numPr>
        <w:tabs>
          <w:tab w:val="clear" w:pos="426"/>
          <w:tab w:val="left" w:pos="284"/>
        </w:tabs>
        <w:spacing w:after="0"/>
        <w:rPr>
          <w:color w:val="FF0000"/>
        </w:rPr>
      </w:pPr>
      <w:r w:rsidRPr="008D6BB2">
        <w:rPr>
          <w:color w:val="FF0000"/>
        </w:rPr>
        <w:t xml:space="preserve"> </w:t>
      </w:r>
      <w:r w:rsidR="000E53F5" w:rsidRPr="009153D7">
        <w:rPr>
          <w:color w:val="auto"/>
        </w:rPr>
        <w:t xml:space="preserve">The </w:t>
      </w:r>
      <w:r w:rsidR="009153D7" w:rsidRPr="009153D7">
        <w:rPr>
          <w:color w:val="auto"/>
        </w:rPr>
        <w:t>Oxford City Council response to the review is attached at Appendix 1</w:t>
      </w:r>
      <w:r w:rsidR="000E53F5" w:rsidRPr="009153D7">
        <w:rPr>
          <w:color w:val="auto"/>
        </w:rPr>
        <w:t>.</w:t>
      </w:r>
    </w:p>
    <w:p w:rsidR="00D47F72" w:rsidRPr="008D6BB2" w:rsidRDefault="00D47F72" w:rsidP="00D47F72">
      <w:pPr>
        <w:spacing w:after="0"/>
        <w:rPr>
          <w:color w:val="FF0000"/>
        </w:rPr>
      </w:pPr>
    </w:p>
    <w:p w:rsidR="00313D2C" w:rsidRDefault="00515234" w:rsidP="00940AA0">
      <w:pPr>
        <w:pStyle w:val="ListParagraph"/>
        <w:numPr>
          <w:ilvl w:val="0"/>
          <w:numId w:val="6"/>
        </w:numPr>
        <w:spacing w:after="0"/>
        <w:ind w:left="357" w:hanging="357"/>
        <w:rPr>
          <w:color w:val="auto"/>
        </w:rPr>
      </w:pPr>
      <w:r>
        <w:rPr>
          <w:color w:val="auto"/>
        </w:rPr>
        <w:t xml:space="preserve">As there was no scheduled meeting of the Standards Committee during the consultation period the Oxford City Council </w:t>
      </w:r>
      <w:r w:rsidR="009153D7" w:rsidRPr="005B4F91">
        <w:rPr>
          <w:color w:val="auto"/>
        </w:rPr>
        <w:t>response was prepared by the Monitoring Officer</w:t>
      </w:r>
      <w:bookmarkStart w:id="0" w:name="_GoBack"/>
      <w:bookmarkEnd w:id="0"/>
      <w:r w:rsidR="005B4F91" w:rsidRPr="005B4F91">
        <w:rPr>
          <w:color w:val="auto"/>
        </w:rPr>
        <w:t xml:space="preserve"> and the Committee and Member Services Manager</w:t>
      </w:r>
      <w:r w:rsidR="001C303A" w:rsidRPr="005B4F91">
        <w:rPr>
          <w:color w:val="auto"/>
        </w:rPr>
        <w:t>.</w:t>
      </w:r>
      <w:r w:rsidR="00313D2C">
        <w:rPr>
          <w:color w:val="auto"/>
        </w:rPr>
        <w:t xml:space="preserve">  </w:t>
      </w:r>
    </w:p>
    <w:p w:rsidR="00313D2C" w:rsidRPr="00313D2C" w:rsidRDefault="00313D2C" w:rsidP="00313D2C">
      <w:pPr>
        <w:spacing w:after="0"/>
        <w:rPr>
          <w:color w:val="auto"/>
        </w:rPr>
      </w:pPr>
    </w:p>
    <w:p w:rsidR="001C303A" w:rsidRPr="005B4F91" w:rsidRDefault="00313D2C" w:rsidP="00940AA0">
      <w:pPr>
        <w:pStyle w:val="ListParagraph"/>
        <w:numPr>
          <w:ilvl w:val="0"/>
          <w:numId w:val="6"/>
        </w:numPr>
        <w:spacing w:after="0"/>
        <w:ind w:left="357" w:hanging="357"/>
        <w:rPr>
          <w:color w:val="auto"/>
        </w:rPr>
      </w:pPr>
      <w:r>
        <w:rPr>
          <w:color w:val="auto"/>
        </w:rPr>
        <w:t xml:space="preserve">The </w:t>
      </w:r>
      <w:hyperlink r:id="rId10" w:history="1">
        <w:r w:rsidRPr="00313D2C">
          <w:rPr>
            <w:rStyle w:val="Hyperlink"/>
          </w:rPr>
          <w:t xml:space="preserve">Committee </w:t>
        </w:r>
        <w:r w:rsidRPr="00313D2C">
          <w:rPr>
            <w:rStyle w:val="Hyperlink"/>
            <w:rFonts w:cs="Arial"/>
          </w:rPr>
          <w:t>on Standards in Public Life website</w:t>
        </w:r>
      </w:hyperlink>
      <w:r>
        <w:rPr>
          <w:color w:val="auto"/>
        </w:rPr>
        <w:t xml:space="preserve"> states that they received 317 responses to the consultation and that they will publish the report by the end of 2018. </w:t>
      </w:r>
      <w:r>
        <w:rPr>
          <w:rFonts w:cs="Arial"/>
          <w:color w:val="auto"/>
        </w:rPr>
        <w:t xml:space="preserve"> The </w:t>
      </w:r>
      <w:r w:rsidRPr="005B4F91">
        <w:rPr>
          <w:color w:val="auto"/>
        </w:rPr>
        <w:t>Committee and Member Services</w:t>
      </w:r>
      <w:r>
        <w:rPr>
          <w:color w:val="auto"/>
        </w:rPr>
        <w:t xml:space="preserve"> officers will monitor this and ensure that the report is circulated to all members of the Standards Committee once it is published.</w:t>
      </w:r>
    </w:p>
    <w:p w:rsidR="00CA6763" w:rsidRPr="00CA6763" w:rsidRDefault="00CA6763" w:rsidP="00CA6763">
      <w:pPr>
        <w:spacing w:after="0"/>
        <w:rPr>
          <w:color w:val="auto"/>
        </w:rPr>
      </w:pPr>
    </w:p>
    <w:p w:rsidR="00E302F1" w:rsidRPr="008D6BB2" w:rsidRDefault="00E302F1" w:rsidP="008D6BB2">
      <w:pPr>
        <w:ind w:left="-6"/>
        <w:rPr>
          <w:b/>
          <w:color w:val="auto"/>
        </w:rPr>
      </w:pPr>
      <w:r w:rsidRPr="008D6BB2">
        <w:rPr>
          <w:b/>
          <w:color w:val="auto"/>
        </w:rPr>
        <w:t>Legal implications</w:t>
      </w:r>
    </w:p>
    <w:p w:rsidR="008D6BB2" w:rsidRDefault="008D6BB2" w:rsidP="008D6BB2">
      <w:pPr>
        <w:pStyle w:val="ListParagraph"/>
        <w:numPr>
          <w:ilvl w:val="0"/>
          <w:numId w:val="6"/>
        </w:numPr>
        <w:spacing w:after="0"/>
        <w:ind w:left="357" w:hanging="357"/>
        <w:rPr>
          <w:color w:val="auto"/>
        </w:rPr>
      </w:pPr>
      <w:r w:rsidRPr="008D6BB2">
        <w:rPr>
          <w:color w:val="auto"/>
        </w:rPr>
        <w:t>None – for information only.</w:t>
      </w:r>
    </w:p>
    <w:p w:rsidR="009153D7" w:rsidRPr="009153D7" w:rsidRDefault="009153D7" w:rsidP="009153D7">
      <w:pPr>
        <w:spacing w:after="0"/>
        <w:rPr>
          <w:color w:val="auto"/>
        </w:rPr>
      </w:pPr>
    </w:p>
    <w:p w:rsidR="009153D7" w:rsidRPr="009153D7" w:rsidRDefault="009153D7" w:rsidP="009153D7">
      <w:pPr>
        <w:rPr>
          <w:b/>
          <w:color w:val="auto"/>
        </w:rPr>
      </w:pPr>
      <w:r w:rsidRPr="009153D7">
        <w:rPr>
          <w:b/>
          <w:color w:val="auto"/>
        </w:rPr>
        <w:t>Financial implications</w:t>
      </w:r>
    </w:p>
    <w:p w:rsidR="009153D7" w:rsidRPr="009153D7" w:rsidRDefault="009153D7" w:rsidP="009153D7">
      <w:pPr>
        <w:pStyle w:val="ListParagraph"/>
        <w:numPr>
          <w:ilvl w:val="0"/>
          <w:numId w:val="6"/>
        </w:numPr>
        <w:spacing w:after="0"/>
        <w:rPr>
          <w:color w:val="auto"/>
        </w:rPr>
      </w:pPr>
      <w:r w:rsidRPr="009153D7">
        <w:rPr>
          <w:color w:val="auto"/>
        </w:rPr>
        <w:t>None – for information only.</w:t>
      </w:r>
    </w:p>
    <w:p w:rsidR="004E3B9B" w:rsidRPr="004E3B9B" w:rsidRDefault="004E3B9B" w:rsidP="00B534F4">
      <w:pPr>
        <w:spacing w:after="0"/>
        <w:rPr>
          <w:color w:val="auto"/>
        </w:rPr>
      </w:pPr>
    </w:p>
    <w:p w:rsidR="00E302F1" w:rsidRPr="00E302F1" w:rsidRDefault="00E302F1" w:rsidP="00E302F1">
      <w:pPr>
        <w:rPr>
          <w:b/>
          <w:color w:val="auto"/>
        </w:rPr>
      </w:pPr>
      <w:r w:rsidRPr="00E302F1">
        <w:rPr>
          <w:b/>
          <w:color w:val="auto"/>
        </w:rPr>
        <w:t>Risk</w:t>
      </w:r>
      <w:r>
        <w:rPr>
          <w:b/>
          <w:color w:val="auto"/>
        </w:rPr>
        <w:t xml:space="preserve"> management</w:t>
      </w:r>
    </w:p>
    <w:p w:rsidR="00E302F1" w:rsidRDefault="008D6BB2" w:rsidP="008D6BB2">
      <w:pPr>
        <w:pStyle w:val="ListParagraph"/>
        <w:numPr>
          <w:ilvl w:val="0"/>
          <w:numId w:val="6"/>
        </w:numPr>
        <w:spacing w:after="0"/>
        <w:ind w:left="357" w:hanging="357"/>
        <w:rPr>
          <w:color w:val="auto"/>
        </w:rPr>
      </w:pPr>
      <w:r>
        <w:rPr>
          <w:color w:val="auto"/>
        </w:rPr>
        <w:t>None – for information only</w:t>
      </w:r>
      <w:r w:rsidR="00E302F1" w:rsidRPr="00E302F1">
        <w:rPr>
          <w:color w:val="auto"/>
        </w:rPr>
        <w:t>.</w:t>
      </w:r>
    </w:p>
    <w:p w:rsidR="002329CF" w:rsidRDefault="002329CF" w:rsidP="004A6D2F"/>
    <w:p w:rsidR="00F066AA" w:rsidRPr="001356F1" w:rsidRDefault="00F066AA"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DC091B" w:rsidP="00A46E98">
            <w:r>
              <w:t>Catherine Phythian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lastRenderedPageBreak/>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E1EF9" w:rsidP="00A46E98">
            <w:r>
              <w:t>Committee and Members Services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E1EF9" w:rsidP="00A46E98">
            <w:r>
              <w:t>Law and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DC091B">
            <w:r w:rsidRPr="001356F1">
              <w:t xml:space="preserve">01865 </w:t>
            </w:r>
            <w:r w:rsidR="006E1EF9">
              <w:t>25</w:t>
            </w:r>
            <w:r w:rsidR="00DC091B">
              <w:t>2402</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2734DC" w:rsidP="00DC091B">
            <w:pPr>
              <w:rPr>
                <w:rStyle w:val="Hyperlink"/>
                <w:color w:val="000000"/>
              </w:rPr>
            </w:pPr>
            <w:hyperlink r:id="rId11" w:history="1">
              <w:r w:rsidR="00DC091B" w:rsidRPr="008839AF">
                <w:rPr>
                  <w:rStyle w:val="Hyperlink"/>
                </w:rPr>
                <w:t>cphythian@oxford.gov.uk</w:t>
              </w:r>
            </w:hyperlink>
            <w:r w:rsidR="006E1EF9">
              <w:rPr>
                <w:rStyle w:val="Hyperlink"/>
                <w:color w:val="000000"/>
              </w:rPr>
              <w:t xml:space="preserve"> </w:t>
            </w:r>
          </w:p>
        </w:tc>
      </w:tr>
    </w:tbl>
    <w:p w:rsidR="00B534F4" w:rsidRPr="00B534F4" w:rsidRDefault="00B534F4" w:rsidP="0093067A">
      <w:pPr>
        <w:rPr>
          <w:color w:val="FF0000"/>
        </w:rPr>
      </w:pPr>
    </w:p>
    <w:sectPr w:rsidR="00B534F4" w:rsidRPr="00B534F4" w:rsidSect="00010BD5">
      <w:footerReference w:type="even" r:id="rId12"/>
      <w:headerReference w:type="first" r:id="rId13"/>
      <w:footerReference w:type="first" r:id="rId14"/>
      <w:pgSz w:w="11906" w:h="16838" w:code="9"/>
      <w:pgMar w:top="1276"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944" w:rsidRDefault="00F51944" w:rsidP="004A6D2F">
      <w:r>
        <w:separator/>
      </w:r>
    </w:p>
  </w:endnote>
  <w:endnote w:type="continuationSeparator" w:id="0">
    <w:p w:rsidR="00F51944" w:rsidRDefault="00F5194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944" w:rsidRDefault="00F51944" w:rsidP="004A6D2F">
      <w:r>
        <w:separator/>
      </w:r>
    </w:p>
  </w:footnote>
  <w:footnote w:type="continuationSeparator" w:id="0">
    <w:p w:rsidR="00F51944" w:rsidRDefault="00F5194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51944" w:rsidP="00D5547E">
    <w:pPr>
      <w:pStyle w:val="Header"/>
      <w:jc w:val="right"/>
    </w:pPr>
    <w:r>
      <w:rPr>
        <w:noProof/>
      </w:rPr>
      <w:drawing>
        <wp:inline distT="0" distB="0" distL="0" distR="0" wp14:anchorId="6721D9E0" wp14:editId="18B0659B">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F3923"/>
    <w:multiLevelType w:val="hybridMultilevel"/>
    <w:tmpl w:val="6F1858D0"/>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F270FC5"/>
    <w:multiLevelType w:val="hybridMultilevel"/>
    <w:tmpl w:val="53DEE0C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A77091"/>
    <w:multiLevelType w:val="multilevel"/>
    <w:tmpl w:val="5D90BDB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5">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F9697A"/>
    <w:multiLevelType w:val="hybridMultilevel"/>
    <w:tmpl w:val="7B1EB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716784"/>
    <w:multiLevelType w:val="hybridMultilevel"/>
    <w:tmpl w:val="3CCA9184"/>
    <w:lvl w:ilvl="0" w:tplc="C8B8EBE0">
      <w:start w:val="1"/>
      <w:numFmt w:val="decimal"/>
      <w:lvlText w:val="%1."/>
      <w:lvlJc w:val="left"/>
      <w:pPr>
        <w:ind w:left="360" w:hanging="360"/>
      </w:pPr>
      <w:rPr>
        <w:rFonts w:hint="default"/>
        <w:color w:val="auto"/>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F97006F"/>
    <w:multiLevelType w:val="hybridMultilevel"/>
    <w:tmpl w:val="B2B2F13E"/>
    <w:lvl w:ilvl="0" w:tplc="3F8C3CB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F9B08B7"/>
    <w:multiLevelType w:val="multilevel"/>
    <w:tmpl w:val="23365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5A35B37"/>
    <w:multiLevelType w:val="hybridMultilevel"/>
    <w:tmpl w:val="3DA6750A"/>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89868C7"/>
    <w:multiLevelType w:val="hybridMultilevel"/>
    <w:tmpl w:val="9E9C3A58"/>
    <w:lvl w:ilvl="0" w:tplc="08090001">
      <w:start w:val="1"/>
      <w:numFmt w:val="bullet"/>
      <w:lvlText w:val=""/>
      <w:lvlJc w:val="left"/>
      <w:pPr>
        <w:ind w:left="786" w:hanging="360"/>
      </w:pPr>
      <w:rPr>
        <w:rFonts w:ascii="Symbol" w:hAnsi="Symbol" w:hint="default"/>
        <w:color w:val="auto"/>
      </w:rPr>
    </w:lvl>
    <w:lvl w:ilvl="1" w:tplc="0809000F">
      <w:start w:val="1"/>
      <w:numFmt w:val="decimal"/>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3CF84429"/>
    <w:multiLevelType w:val="hybridMultilevel"/>
    <w:tmpl w:val="0562017C"/>
    <w:lvl w:ilvl="0" w:tplc="556C6282">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FE16E3"/>
    <w:multiLevelType w:val="hybridMultilevel"/>
    <w:tmpl w:val="7CB6B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FD16223"/>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7CD66C53"/>
    <w:multiLevelType w:val="hybridMultilevel"/>
    <w:tmpl w:val="EC669E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DEC1AD5"/>
    <w:multiLevelType w:val="hybridMultilevel"/>
    <w:tmpl w:val="0BDA159E"/>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5"/>
  </w:num>
  <w:num w:numId="4">
    <w:abstractNumId w:val="1"/>
  </w:num>
  <w:num w:numId="5">
    <w:abstractNumId w:val="14"/>
  </w:num>
  <w:num w:numId="6">
    <w:abstractNumId w:val="7"/>
  </w:num>
  <w:num w:numId="7">
    <w:abstractNumId w:val="2"/>
  </w:num>
  <w:num w:numId="8">
    <w:abstractNumId w:val="12"/>
  </w:num>
  <w:num w:numId="9">
    <w:abstractNumId w:val="11"/>
  </w:num>
  <w:num w:numId="10">
    <w:abstractNumId w:val="10"/>
  </w:num>
  <w:num w:numId="11">
    <w:abstractNumId w:val="9"/>
  </w:num>
  <w:num w:numId="12">
    <w:abstractNumId w:val="4"/>
  </w:num>
  <w:num w:numId="13">
    <w:abstractNumId w:val="3"/>
  </w:num>
  <w:num w:numId="14">
    <w:abstractNumId w:val="13"/>
  </w:num>
  <w:num w:numId="15">
    <w:abstractNumId w:val="6"/>
  </w:num>
  <w:num w:numId="16">
    <w:abstractNumId w:val="17"/>
  </w:num>
  <w:num w:numId="17">
    <w:abstractNumId w:val="16"/>
  </w:num>
  <w:num w:numId="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44"/>
    <w:rsid w:val="00010BD5"/>
    <w:rsid w:val="000117D4"/>
    <w:rsid w:val="000314D7"/>
    <w:rsid w:val="00045F8B"/>
    <w:rsid w:val="00046D2B"/>
    <w:rsid w:val="00056263"/>
    <w:rsid w:val="00064D8A"/>
    <w:rsid w:val="00064F82"/>
    <w:rsid w:val="00066510"/>
    <w:rsid w:val="00077523"/>
    <w:rsid w:val="000C089F"/>
    <w:rsid w:val="000C3928"/>
    <w:rsid w:val="000C5E8E"/>
    <w:rsid w:val="000E53F5"/>
    <w:rsid w:val="000F4751"/>
    <w:rsid w:val="0010524C"/>
    <w:rsid w:val="00111FB1"/>
    <w:rsid w:val="00113418"/>
    <w:rsid w:val="001356F1"/>
    <w:rsid w:val="00136994"/>
    <w:rsid w:val="0014128E"/>
    <w:rsid w:val="00151888"/>
    <w:rsid w:val="001657A8"/>
    <w:rsid w:val="00170A2D"/>
    <w:rsid w:val="001808BC"/>
    <w:rsid w:val="00182B81"/>
    <w:rsid w:val="0018619D"/>
    <w:rsid w:val="001A011E"/>
    <w:rsid w:val="001A066A"/>
    <w:rsid w:val="001A0765"/>
    <w:rsid w:val="001A13E6"/>
    <w:rsid w:val="001A5731"/>
    <w:rsid w:val="001B42C3"/>
    <w:rsid w:val="001C303A"/>
    <w:rsid w:val="001C5D5E"/>
    <w:rsid w:val="001D678D"/>
    <w:rsid w:val="001D76E8"/>
    <w:rsid w:val="001E03F8"/>
    <w:rsid w:val="001E1678"/>
    <w:rsid w:val="001E3376"/>
    <w:rsid w:val="002069B3"/>
    <w:rsid w:val="002329CF"/>
    <w:rsid w:val="00232F5B"/>
    <w:rsid w:val="00247C29"/>
    <w:rsid w:val="00260467"/>
    <w:rsid w:val="00263EA3"/>
    <w:rsid w:val="002734DC"/>
    <w:rsid w:val="00284F85"/>
    <w:rsid w:val="00290915"/>
    <w:rsid w:val="002A22E2"/>
    <w:rsid w:val="002C177C"/>
    <w:rsid w:val="002C64F7"/>
    <w:rsid w:val="002E4BEA"/>
    <w:rsid w:val="002F41F2"/>
    <w:rsid w:val="002F7F16"/>
    <w:rsid w:val="00301BF3"/>
    <w:rsid w:val="0030208D"/>
    <w:rsid w:val="00313D2C"/>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47D5E"/>
    <w:rsid w:val="004521B7"/>
    <w:rsid w:val="004521FD"/>
    <w:rsid w:val="00462AB5"/>
    <w:rsid w:val="00465EAF"/>
    <w:rsid w:val="004738C5"/>
    <w:rsid w:val="00491046"/>
    <w:rsid w:val="00493EB9"/>
    <w:rsid w:val="004A2AC7"/>
    <w:rsid w:val="004A6D2F"/>
    <w:rsid w:val="004C2887"/>
    <w:rsid w:val="004D2626"/>
    <w:rsid w:val="004D6E26"/>
    <w:rsid w:val="004D6E89"/>
    <w:rsid w:val="004D77D3"/>
    <w:rsid w:val="004E2959"/>
    <w:rsid w:val="004E3A20"/>
    <w:rsid w:val="004E3B9B"/>
    <w:rsid w:val="004F20EF"/>
    <w:rsid w:val="0050321C"/>
    <w:rsid w:val="00515234"/>
    <w:rsid w:val="005408AA"/>
    <w:rsid w:val="0054712D"/>
    <w:rsid w:val="00547EF6"/>
    <w:rsid w:val="005570B5"/>
    <w:rsid w:val="00567E18"/>
    <w:rsid w:val="00575F5F"/>
    <w:rsid w:val="00581805"/>
    <w:rsid w:val="00585F76"/>
    <w:rsid w:val="005A34E4"/>
    <w:rsid w:val="005B17F2"/>
    <w:rsid w:val="005B4F91"/>
    <w:rsid w:val="005B7FB0"/>
    <w:rsid w:val="005C35A5"/>
    <w:rsid w:val="005C577C"/>
    <w:rsid w:val="005D0621"/>
    <w:rsid w:val="005D1E27"/>
    <w:rsid w:val="005D2A3E"/>
    <w:rsid w:val="005E022E"/>
    <w:rsid w:val="005E101C"/>
    <w:rsid w:val="005E5215"/>
    <w:rsid w:val="005F7F7E"/>
    <w:rsid w:val="00614693"/>
    <w:rsid w:val="00623C2F"/>
    <w:rsid w:val="00633578"/>
    <w:rsid w:val="00637068"/>
    <w:rsid w:val="00650811"/>
    <w:rsid w:val="00661D3E"/>
    <w:rsid w:val="00692627"/>
    <w:rsid w:val="006969E7"/>
    <w:rsid w:val="006A3643"/>
    <w:rsid w:val="006C2806"/>
    <w:rsid w:val="006C2A29"/>
    <w:rsid w:val="006C64CF"/>
    <w:rsid w:val="006D17B1"/>
    <w:rsid w:val="006D4752"/>
    <w:rsid w:val="006D708A"/>
    <w:rsid w:val="006E14C1"/>
    <w:rsid w:val="006E1EF9"/>
    <w:rsid w:val="006F0292"/>
    <w:rsid w:val="006F1D18"/>
    <w:rsid w:val="006F27FA"/>
    <w:rsid w:val="006F416B"/>
    <w:rsid w:val="006F519B"/>
    <w:rsid w:val="00713675"/>
    <w:rsid w:val="00715823"/>
    <w:rsid w:val="00737B93"/>
    <w:rsid w:val="00745BF0"/>
    <w:rsid w:val="00750C0D"/>
    <w:rsid w:val="007615FE"/>
    <w:rsid w:val="0076655C"/>
    <w:rsid w:val="007721E3"/>
    <w:rsid w:val="007742DC"/>
    <w:rsid w:val="00791437"/>
    <w:rsid w:val="007B0C2C"/>
    <w:rsid w:val="007B278E"/>
    <w:rsid w:val="007C5C23"/>
    <w:rsid w:val="007E2A26"/>
    <w:rsid w:val="007F2348"/>
    <w:rsid w:val="008009C3"/>
    <w:rsid w:val="00803F07"/>
    <w:rsid w:val="0080749A"/>
    <w:rsid w:val="00821FB8"/>
    <w:rsid w:val="00822ACD"/>
    <w:rsid w:val="00844F5F"/>
    <w:rsid w:val="00855C66"/>
    <w:rsid w:val="00871EE4"/>
    <w:rsid w:val="00874E39"/>
    <w:rsid w:val="008B293F"/>
    <w:rsid w:val="008B7371"/>
    <w:rsid w:val="008D3DDB"/>
    <w:rsid w:val="008D6BB2"/>
    <w:rsid w:val="008F573F"/>
    <w:rsid w:val="009034EC"/>
    <w:rsid w:val="009153D7"/>
    <w:rsid w:val="00917522"/>
    <w:rsid w:val="0093067A"/>
    <w:rsid w:val="00936295"/>
    <w:rsid w:val="00940AA0"/>
    <w:rsid w:val="00941C60"/>
    <w:rsid w:val="00966D42"/>
    <w:rsid w:val="00971689"/>
    <w:rsid w:val="00973E90"/>
    <w:rsid w:val="00975B07"/>
    <w:rsid w:val="00980B4A"/>
    <w:rsid w:val="009B15D1"/>
    <w:rsid w:val="009B3159"/>
    <w:rsid w:val="009D051D"/>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E7AF0"/>
    <w:rsid w:val="00B147CB"/>
    <w:rsid w:val="00B500CA"/>
    <w:rsid w:val="00B534F4"/>
    <w:rsid w:val="00B67F63"/>
    <w:rsid w:val="00B86314"/>
    <w:rsid w:val="00B96CEA"/>
    <w:rsid w:val="00BA1C2E"/>
    <w:rsid w:val="00BC200B"/>
    <w:rsid w:val="00BC4756"/>
    <w:rsid w:val="00BC5A00"/>
    <w:rsid w:val="00BC69A4"/>
    <w:rsid w:val="00BE0680"/>
    <w:rsid w:val="00BE305F"/>
    <w:rsid w:val="00BE7BA3"/>
    <w:rsid w:val="00BF5682"/>
    <w:rsid w:val="00BF7B09"/>
    <w:rsid w:val="00C20A95"/>
    <w:rsid w:val="00C2476D"/>
    <w:rsid w:val="00C2692F"/>
    <w:rsid w:val="00C3207C"/>
    <w:rsid w:val="00C400E1"/>
    <w:rsid w:val="00C41187"/>
    <w:rsid w:val="00C55D85"/>
    <w:rsid w:val="00C63C31"/>
    <w:rsid w:val="00C757A0"/>
    <w:rsid w:val="00C760DE"/>
    <w:rsid w:val="00C82630"/>
    <w:rsid w:val="00C85B4E"/>
    <w:rsid w:val="00C907F7"/>
    <w:rsid w:val="00CA2103"/>
    <w:rsid w:val="00CA6763"/>
    <w:rsid w:val="00CB6B99"/>
    <w:rsid w:val="00CE4C87"/>
    <w:rsid w:val="00CE544A"/>
    <w:rsid w:val="00CF48E0"/>
    <w:rsid w:val="00D11E1C"/>
    <w:rsid w:val="00D160B0"/>
    <w:rsid w:val="00D17F94"/>
    <w:rsid w:val="00D223FC"/>
    <w:rsid w:val="00D26D1E"/>
    <w:rsid w:val="00D326E6"/>
    <w:rsid w:val="00D474CF"/>
    <w:rsid w:val="00D47F72"/>
    <w:rsid w:val="00D5547E"/>
    <w:rsid w:val="00D869A1"/>
    <w:rsid w:val="00DA413F"/>
    <w:rsid w:val="00DA4584"/>
    <w:rsid w:val="00DA614B"/>
    <w:rsid w:val="00DC091B"/>
    <w:rsid w:val="00DC3060"/>
    <w:rsid w:val="00DD458E"/>
    <w:rsid w:val="00DE0FB2"/>
    <w:rsid w:val="00DE1E46"/>
    <w:rsid w:val="00DF093E"/>
    <w:rsid w:val="00E01F42"/>
    <w:rsid w:val="00E206D6"/>
    <w:rsid w:val="00E302F1"/>
    <w:rsid w:val="00E3366E"/>
    <w:rsid w:val="00E461E3"/>
    <w:rsid w:val="00E50857"/>
    <w:rsid w:val="00E52086"/>
    <w:rsid w:val="00E543A6"/>
    <w:rsid w:val="00E60479"/>
    <w:rsid w:val="00E61D73"/>
    <w:rsid w:val="00E73684"/>
    <w:rsid w:val="00E818D6"/>
    <w:rsid w:val="00E87F7A"/>
    <w:rsid w:val="00E96BD7"/>
    <w:rsid w:val="00EA0DB1"/>
    <w:rsid w:val="00EA0EE9"/>
    <w:rsid w:val="00ED065D"/>
    <w:rsid w:val="00ED52CA"/>
    <w:rsid w:val="00ED5860"/>
    <w:rsid w:val="00EE35C9"/>
    <w:rsid w:val="00F05ECA"/>
    <w:rsid w:val="00F066AA"/>
    <w:rsid w:val="00F22232"/>
    <w:rsid w:val="00F3566E"/>
    <w:rsid w:val="00F375FB"/>
    <w:rsid w:val="00F41AC1"/>
    <w:rsid w:val="00F4367A"/>
    <w:rsid w:val="00F445B1"/>
    <w:rsid w:val="00F45CD4"/>
    <w:rsid w:val="00F51944"/>
    <w:rsid w:val="00F66DCA"/>
    <w:rsid w:val="00F74F53"/>
    <w:rsid w:val="00F7606D"/>
    <w:rsid w:val="00F81670"/>
    <w:rsid w:val="00F82024"/>
    <w:rsid w:val="00F95BC9"/>
    <w:rsid w:val="00F97294"/>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Body Text" w:uiPriority="1"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1"/>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1"/>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 w:type="character" w:styleId="FollowedHyperlink">
    <w:name w:val="FollowedHyperlink"/>
    <w:basedOn w:val="DefaultParagraphFont"/>
    <w:rsid w:val="00C247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Body Text" w:uiPriority="1"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1"/>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1"/>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 w:type="character" w:styleId="FollowedHyperlink">
    <w:name w:val="FollowedHyperlink"/>
    <w:basedOn w:val="DefaultParagraphFont"/>
    <w:rsid w:val="00C247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25783769">
      <w:bodyDiv w:val="1"/>
      <w:marLeft w:val="0"/>
      <w:marRight w:val="0"/>
      <w:marTop w:val="0"/>
      <w:marBottom w:val="0"/>
      <w:divBdr>
        <w:top w:val="none" w:sz="0" w:space="0" w:color="auto"/>
        <w:left w:val="none" w:sz="0" w:space="0" w:color="auto"/>
        <w:bottom w:val="none" w:sz="0" w:space="0" w:color="auto"/>
        <w:right w:val="none" w:sz="0" w:space="0" w:color="auto"/>
      </w:divBdr>
      <w:divsChild>
        <w:div w:id="1605266267">
          <w:marLeft w:val="0"/>
          <w:marRight w:val="0"/>
          <w:marTop w:val="0"/>
          <w:marBottom w:val="0"/>
          <w:divBdr>
            <w:top w:val="none" w:sz="0" w:space="0" w:color="auto"/>
            <w:left w:val="none" w:sz="0" w:space="0" w:color="auto"/>
            <w:bottom w:val="none" w:sz="0" w:space="0" w:color="auto"/>
            <w:right w:val="none" w:sz="0" w:space="0" w:color="auto"/>
          </w:divBdr>
          <w:divsChild>
            <w:div w:id="1048382430">
              <w:marLeft w:val="0"/>
              <w:marRight w:val="0"/>
              <w:marTop w:val="0"/>
              <w:marBottom w:val="0"/>
              <w:divBdr>
                <w:top w:val="none" w:sz="0" w:space="0" w:color="auto"/>
                <w:left w:val="none" w:sz="0" w:space="0" w:color="auto"/>
                <w:bottom w:val="none" w:sz="0" w:space="0" w:color="auto"/>
                <w:right w:val="none" w:sz="0" w:space="0" w:color="auto"/>
              </w:divBdr>
              <w:divsChild>
                <w:div w:id="1234507889">
                  <w:marLeft w:val="0"/>
                  <w:marRight w:val="0"/>
                  <w:marTop w:val="0"/>
                  <w:marBottom w:val="0"/>
                  <w:divBdr>
                    <w:top w:val="none" w:sz="0" w:space="0" w:color="auto"/>
                    <w:left w:val="none" w:sz="0" w:space="0" w:color="auto"/>
                    <w:bottom w:val="none" w:sz="0" w:space="0" w:color="auto"/>
                    <w:right w:val="none" w:sz="0" w:space="0" w:color="auto"/>
                  </w:divBdr>
                  <w:divsChild>
                    <w:div w:id="1271741723">
                      <w:marLeft w:val="0"/>
                      <w:marRight w:val="0"/>
                      <w:marTop w:val="0"/>
                      <w:marBottom w:val="0"/>
                      <w:divBdr>
                        <w:top w:val="none" w:sz="0" w:space="0" w:color="auto"/>
                        <w:left w:val="none" w:sz="0" w:space="0" w:color="auto"/>
                        <w:bottom w:val="none" w:sz="0" w:space="0" w:color="auto"/>
                        <w:right w:val="none" w:sz="0" w:space="0" w:color="auto"/>
                      </w:divBdr>
                      <w:divsChild>
                        <w:div w:id="1420903467">
                          <w:marLeft w:val="0"/>
                          <w:marRight w:val="0"/>
                          <w:marTop w:val="0"/>
                          <w:marBottom w:val="0"/>
                          <w:divBdr>
                            <w:top w:val="none" w:sz="0" w:space="0" w:color="auto"/>
                            <w:left w:val="none" w:sz="0" w:space="0" w:color="auto"/>
                            <w:bottom w:val="none" w:sz="0" w:space="0" w:color="auto"/>
                            <w:right w:val="none" w:sz="0" w:space="0" w:color="auto"/>
                          </w:divBdr>
                          <w:divsChild>
                            <w:div w:id="5509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1228408">
      <w:bodyDiv w:val="1"/>
      <w:marLeft w:val="0"/>
      <w:marRight w:val="0"/>
      <w:marTop w:val="0"/>
      <w:marBottom w:val="0"/>
      <w:divBdr>
        <w:top w:val="none" w:sz="0" w:space="0" w:color="auto"/>
        <w:left w:val="none" w:sz="0" w:space="0" w:color="auto"/>
        <w:bottom w:val="none" w:sz="0" w:space="0" w:color="auto"/>
        <w:right w:val="none" w:sz="0" w:space="0" w:color="auto"/>
      </w:divBdr>
    </w:div>
    <w:div w:id="1013729563">
      <w:bodyDiv w:val="1"/>
      <w:marLeft w:val="0"/>
      <w:marRight w:val="0"/>
      <w:marTop w:val="0"/>
      <w:marBottom w:val="0"/>
      <w:divBdr>
        <w:top w:val="none" w:sz="0" w:space="0" w:color="auto"/>
        <w:left w:val="none" w:sz="0" w:space="0" w:color="auto"/>
        <w:bottom w:val="none" w:sz="0" w:space="0" w:color="auto"/>
        <w:right w:val="none" w:sz="0" w:space="0" w:color="auto"/>
      </w:divBdr>
    </w:div>
    <w:div w:id="1028947158">
      <w:bodyDiv w:val="1"/>
      <w:marLeft w:val="0"/>
      <w:marRight w:val="0"/>
      <w:marTop w:val="0"/>
      <w:marBottom w:val="0"/>
      <w:divBdr>
        <w:top w:val="none" w:sz="0" w:space="0" w:color="auto"/>
        <w:left w:val="none" w:sz="0" w:space="0" w:color="auto"/>
        <w:bottom w:val="none" w:sz="0" w:space="0" w:color="auto"/>
        <w:right w:val="none" w:sz="0" w:space="0" w:color="auto"/>
      </w:divBdr>
    </w:div>
    <w:div w:id="117040944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2350934">
      <w:bodyDiv w:val="1"/>
      <w:marLeft w:val="0"/>
      <w:marRight w:val="0"/>
      <w:marTop w:val="0"/>
      <w:marBottom w:val="0"/>
      <w:divBdr>
        <w:top w:val="none" w:sz="0" w:space="0" w:color="auto"/>
        <w:left w:val="none" w:sz="0" w:space="0" w:color="auto"/>
        <w:bottom w:val="none" w:sz="0" w:space="0" w:color="auto"/>
        <w:right w:val="none" w:sz="0" w:space="0" w:color="auto"/>
      </w:divBdr>
    </w:div>
    <w:div w:id="1838034765">
      <w:bodyDiv w:val="1"/>
      <w:marLeft w:val="0"/>
      <w:marRight w:val="0"/>
      <w:marTop w:val="0"/>
      <w:marBottom w:val="0"/>
      <w:divBdr>
        <w:top w:val="none" w:sz="0" w:space="0" w:color="auto"/>
        <w:left w:val="none" w:sz="0" w:space="0" w:color="auto"/>
        <w:bottom w:val="none" w:sz="0" w:space="0" w:color="auto"/>
        <w:right w:val="none" w:sz="0" w:space="0" w:color="auto"/>
      </w:divBdr>
    </w:div>
    <w:div w:id="20054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hythian@oxford.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consultations/local-government-ethical-standards-stakeholder-consultation" TargetMode="External"/><Relationship Id="rId4" Type="http://schemas.microsoft.com/office/2007/relationships/stylesWithEffects" Target="stylesWithEffects.xml"/><Relationship Id="rId9" Type="http://schemas.openxmlformats.org/officeDocument/2006/relationships/hyperlink" Target="https://www.gov.uk/government/consultations/local-government-ethical-standards-stakeholder-consultatio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07EF3-094B-40E9-A66F-C5F57C6D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CFE8C8CC</Template>
  <TotalTime>0</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cphythian</cp:lastModifiedBy>
  <cp:revision>4</cp:revision>
  <cp:lastPrinted>2015-07-03T12:50:00Z</cp:lastPrinted>
  <dcterms:created xsi:type="dcterms:W3CDTF">2018-08-30T14:29:00Z</dcterms:created>
  <dcterms:modified xsi:type="dcterms:W3CDTF">2018-08-30T16:26:00Z</dcterms:modified>
</cp:coreProperties>
</file>